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7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bookmarkStart w:colFirst="0" w:colLast="0" w:name="_heading=h.6c964fxg6mtu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                                                                                                                                    Для сайта</w:t>
      </w:r>
    </w:p>
    <w:p w:rsidR="00000000" w:rsidDel="00000000" w:rsidP="00000000" w:rsidRDefault="00000000" w:rsidRPr="00000000" w14:paraId="00000002">
      <w:pPr>
        <w:ind w:left="-567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Проведенные семинары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2026 г.</w:t>
      </w:r>
      <w:r w:rsidDel="00000000" w:rsidR="00000000" w:rsidRPr="00000000">
        <w:rPr>
          <w:rtl w:val="0"/>
        </w:rPr>
      </w:r>
    </w:p>
    <w:tbl>
      <w:tblPr>
        <w:tblStyle w:val="Table1"/>
        <w:tblW w:w="15165.0" w:type="dxa"/>
        <w:jc w:val="left"/>
        <w:tblInd w:w="-4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1559"/>
        <w:gridCol w:w="8645"/>
        <w:gridCol w:w="4252"/>
        <w:tblGridChange w:id="0">
          <w:tblGrid>
            <w:gridCol w:w="709"/>
            <w:gridCol w:w="1559"/>
            <w:gridCol w:w="8645"/>
            <w:gridCol w:w="4252"/>
          </w:tblGrid>
        </w:tblGridChange>
      </w:tblGrid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Дата проведения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tabs>
                <w:tab w:val="left" w:leader="none" w:pos="1980"/>
                <w:tab w:val="left" w:leader="none" w:pos="2220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ab/>
              <w:t xml:space="preserve">                   Тема семинара</w:t>
              <w:tab/>
              <w:t xml:space="preserve">      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Приняли участие представители предприятий, членов ГОСН</w:t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tabs>
                <w:tab w:val="left" w:leader="none" w:pos="3045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январь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15.01.2026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38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Основные аспекты применения законодательства о труде в 2026 г. Обзор типичных ошибок, допущенных субъектами хозяйствования в 2025 г. при регулировании трудовых и связанных с ними отношений. Возложение материальной и дисциплинарной ответственности на работников за ущерб, причиненный нанимателю при исполнении трудовых обязанностей, нарушения трудовой дисциплины. Особенности применения производственного графика на 2026 г. при нормировании рабочего времени в 2026 г., составлении учетной документации, внесению изменений (дополнений) в локальные правовые акты по трудовым и связанным с ними отношениями.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23– предприятия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21.01 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tabs>
                <w:tab w:val="left" w:leader="none" w:pos="3045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Государственные пособия и индивидуальный (персонифицированный) учет застрахованных лиц в системе государственного социального страхования в 2026 году: новации, актуальные вопросы, практика применения законодательства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21– предприятие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29.01.2026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Новое в проведении аттестации (внеочередной аттестации, переаттестации) рабочих мест за работу с вредными и (или) опасными условиями труда и контрольных мероприятий по мониторингу (надзору, проверке) условий труда работающих в 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22 -предприятия</w:t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tabs>
                <w:tab w:val="left" w:leader="none" w:pos="1980"/>
                <w:tab w:val="left" w:leader="none" w:pos="2220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февраль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10.02.2026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tabs>
                <w:tab w:val="left" w:leader="none" w:pos="3045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Управление охраной труда в 2026 г. Современные требования к локальным правовым актам и учетной документации по охране труда в 2026 г.  Практикум: тестирование «Охрана труда: учет и документальное оформление /вопросы-ответы/»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29 - предприятий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38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                                                    март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2.03.2026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tabs>
                <w:tab w:val="left" w:leader="none" w:pos="3045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Актуальные вопросы и ответы по удержанию налоговыми агентами подоходного налога с физических лиц: объекты налогообложения, налоговая база при выдаче доходов в денежной и(или) натуральной формах, льготы, ставки, налоговые вычеты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19 - предприятий</w:t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ind w:left="-567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165.0" w:type="dxa"/>
        <w:jc w:val="left"/>
        <w:tblInd w:w="-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5"/>
        <w:gridCol w:w="1605"/>
        <w:gridCol w:w="8580"/>
        <w:gridCol w:w="4275"/>
        <w:tblGridChange w:id="0">
          <w:tblGrid>
            <w:gridCol w:w="705"/>
            <w:gridCol w:w="1605"/>
            <w:gridCol w:w="8580"/>
            <w:gridCol w:w="4275"/>
          </w:tblGrid>
        </w:tblGridChange>
      </w:tblGrid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Дата проведения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tabs>
                <w:tab w:val="left" w:leader="none" w:pos="1980"/>
                <w:tab w:val="left" w:leader="none" w:pos="2220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ab/>
              <w:t xml:space="preserve">                   Тема семинара</w:t>
              <w:tab/>
              <w:t xml:space="preserve">      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Приняли участие представители предприятий, членов ГОСН</w:t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tabs>
                <w:tab w:val="left" w:leader="none" w:pos="3045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апрель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38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Актуальные вопросы и ответы по предоставлению трудовых и других видов отпусков работникам в 2026 г. Практические рекомендации по документальному оформлению отпусков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21– предприятия</w:t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tabs>
                <w:tab w:val="left" w:leader="none" w:pos="3045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Процедуры подготовки, проведения и завершения аттестации (переаттестации) рабочих мест по условиям труда в 2026 году. Осуществление профессионального пенсионного обеспечения на основании аттестации рабочих мест по условиям труда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24– предприятие</w:t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168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8"/>
        <w:gridCol w:w="94"/>
        <w:gridCol w:w="1607"/>
        <w:gridCol w:w="8647"/>
        <w:gridCol w:w="4252"/>
        <w:tblGridChange w:id="0">
          <w:tblGrid>
            <w:gridCol w:w="568"/>
            <w:gridCol w:w="94"/>
            <w:gridCol w:w="1607"/>
            <w:gridCol w:w="8647"/>
            <w:gridCol w:w="4252"/>
          </w:tblGrid>
        </w:tblGridChange>
      </w:tblGrid>
      <w:tr>
        <w:trPr>
          <w:cantSplit w:val="0"/>
          <w:trHeight w:val="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tabs>
                <w:tab w:val="left" w:leader="none" w:pos="1980"/>
                <w:tab w:val="left" w:leader="none" w:pos="2220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май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7.05.2026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tabs>
                <w:tab w:val="left" w:leader="none" w:pos="3045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Обзор изменений 2026 года в законодательстве о труде. Практические рекомендации нанимателям по регулированию с работниками трудовых и связанных с ними отношений. Новое в осуществлении государственного надзора за соблюдением законодательства о труде в 2026 год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20 – предприятий</w:t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20.05.2026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38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Особенности оплаты труда работников - формы, системы, стимулирующие и компенсирующие выплаты, гарантии и компенсации при служебных командировках, расчет и корректировка среднего заработка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 – предприятий</w:t>
            </w:r>
          </w:p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tabs>
                <w:tab w:val="left" w:leader="none" w:pos="3045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heading=h.rewng4o6e5ho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tabs>
                <w:tab w:val="left" w:leader="none" w:pos="1980"/>
                <w:tab w:val="left" w:leader="none" w:pos="2220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июнь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10.06.2026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tabs>
                <w:tab w:val="left" w:leader="none" w:pos="3045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Новые правила судебных споров. Работа юриста организации в судебном процессе по Кодексу гражданского судопроизводства РБ: от претензии до обжалования. Практикум–тестирование: «Судебный процесс по правилам Кодекса гражданского судопроизводства /вопросы – ответы/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 – предприятий</w:t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16.06.2026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tabs>
                <w:tab w:val="left" w:leader="none" w:pos="3045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Трудовые отношения в РБ: управление рисками в рамках нового КоАП с 19.06.2026 г. Практикум-тестирование «Учетная документация по трудовым и связанным с ними отношениям: вопросы и ответы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19 – предприятий</w:t>
            </w:r>
          </w:p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30.06.2026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tabs>
                <w:tab w:val="left" w:leader="none" w:pos="3045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4"/>
                <w:szCs w:val="24"/>
                <w:rtl w:val="0"/>
              </w:rPr>
              <w:t xml:space="preserve">Новации в обеспечении пособиями семей, воспитывающим детей и по временной нетрудоспособности в 2026 году: актуальные вопросы, практика применения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законодательства. 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42424"/>
                <w:sz w:val="24"/>
                <w:szCs w:val="24"/>
                <w:rtl w:val="0"/>
              </w:rPr>
              <w:t xml:space="preserve">еформа в заполнении и сдаче форм документов персонифицированного учета (ПУ-1, ПУ-2, ПУ-3)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19 - предприятий</w:t>
            </w:r>
          </w:p>
        </w:tc>
      </w:tr>
      <w:tr>
        <w:trPr>
          <w:cantSplit w:val="0"/>
          <w:trHeight w:val="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tabs>
                <w:tab w:val="left" w:leader="none" w:pos="3045"/>
              </w:tabs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line="240" w:lineRule="auto"/>
        <w:ind w:left="-560" w:firstLine="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060.0" w:type="dxa"/>
        <w:jc w:val="left"/>
        <w:tblInd w:w="-49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5"/>
        <w:gridCol w:w="1710"/>
        <w:gridCol w:w="8655"/>
        <w:gridCol w:w="4050"/>
        <w:tblGridChange w:id="0">
          <w:tblGrid>
            <w:gridCol w:w="645"/>
            <w:gridCol w:w="1710"/>
            <w:gridCol w:w="8655"/>
            <w:gridCol w:w="405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line="276" w:lineRule="auto"/>
              <w:ind w:left="-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line="276" w:lineRule="auto"/>
              <w:ind w:left="-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line="276" w:lineRule="auto"/>
              <w:ind w:left="-2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             </w:t>
              <w:tab/>
              <w:t xml:space="preserve">        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июль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line="276" w:lineRule="auto"/>
              <w:ind w:left="-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line="276" w:lineRule="auto"/>
              <w:ind w:left="-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line="276" w:lineRule="auto"/>
              <w:ind w:left="-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30.07.2026г.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line="276" w:lineRule="auto"/>
              <w:ind w:left="-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Актуальная судебная практика при заключении и исполнении договоров строительного подряда в Республике Беларусь. Экономические споры с нерезидентами: судебная практика, трансграничные риски и эффективная защита. Практикум – тестирование: «Экономические риски при проведении расчетов по договорам строительного подряда и с нерезидентами /вопросы – ответы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line="276" w:lineRule="auto"/>
              <w:ind w:left="-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18 - предприятия</w:t>
            </w:r>
          </w:p>
        </w:tc>
      </w:tr>
    </w:tbl>
    <w:p w:rsidR="00000000" w:rsidDel="00000000" w:rsidP="00000000" w:rsidRDefault="00000000" w:rsidRPr="00000000" w14:paraId="0000007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sectPr>
      <w:pgSz w:h="11907" w:w="16839" w:orient="landscape"/>
      <w:pgMar w:bottom="851" w:top="170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3K3/J/EvqwW3ZMgXDpK98nBP6A==">CgMxLjAyDmguNmM5NjRmeGc2bXR1Mg5oLnJld25nNG82ZTVobzgAciExSWFBN0RZR0J0UEF1YlpCNzZLN1FFdHkyb0JOWVdvOEo=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